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87" w:rsidRPr="00F73D38" w:rsidRDefault="00F11D90" w:rsidP="00F11D90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3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Załącznik </w:t>
      </w:r>
      <w:r w:rsidR="001A3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 1</w:t>
      </w:r>
    </w:p>
    <w:p w:rsidR="00DB2A4A" w:rsidRPr="00F73D38" w:rsidRDefault="00DB2A4A" w:rsidP="00F11D90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11D90" w:rsidRPr="00F73D38" w:rsidRDefault="00F11D90" w:rsidP="00DB2A4A">
      <w:pPr>
        <w:pStyle w:val="NormalnyWeb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F73D38">
        <w:rPr>
          <w:b/>
          <w:color w:val="000000" w:themeColor="text1"/>
          <w:sz w:val="28"/>
          <w:szCs w:val="28"/>
        </w:rPr>
        <w:t>Procedury podejm</w:t>
      </w:r>
      <w:r w:rsidR="00DB2A4A" w:rsidRPr="00F73D38">
        <w:rPr>
          <w:b/>
          <w:color w:val="000000" w:themeColor="text1"/>
          <w:sz w:val="28"/>
          <w:szCs w:val="28"/>
        </w:rPr>
        <w:t>owania interwencji</w:t>
      </w:r>
    </w:p>
    <w:p w:rsidR="00DB2A4A" w:rsidRPr="00F73D38" w:rsidRDefault="00DB2A4A" w:rsidP="00DB2A4A">
      <w:pPr>
        <w:pStyle w:val="NormalnyWeb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F11D90" w:rsidRPr="00F73D38" w:rsidRDefault="00F11D90" w:rsidP="00F11D9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Przemoc rówieśnicza</w:t>
      </w:r>
    </w:p>
    <w:p w:rsidR="00F11D90" w:rsidRPr="00F73D38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Standardy dotyczące przeciwdziałania przemocy rówieśniczej</w:t>
      </w:r>
    </w:p>
    <w:p w:rsidR="00F11D90" w:rsidRPr="00F73D38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Prowadzenie corocznej diagnozy czynników ryzyka i chroniących, również w aspekcie określenia zakresu i rodzaju problemu związanego z przemocą wśród uczniów, a następnie ewaluowanie szkolnego programu wychowawczo – profilaktycznego w oparciu o uzyskane wyniki diagnozy</w:t>
      </w:r>
      <w:r w:rsidR="006E1093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11D90" w:rsidRPr="00F73D38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</w:t>
      </w:r>
      <w:r w:rsidR="006E1093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tatucie i szkolnym programie wychowawczo – profilaktycznym opracowane są ogólnoszkolne zasady oczekiwań wobec zachowania uczniów i konsekwencje (sankcje) za ich nieprzestrzeganie.</w:t>
      </w:r>
    </w:p>
    <w:p w:rsidR="00F11D90" w:rsidRPr="00F73D38" w:rsidRDefault="00F11D90" w:rsidP="00F11D90">
      <w:pPr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Oddziaływaniami objęci są również rodzice, których edukuje się na temat obserwowania niepokojących objawów, mogących świadczyć o doświadczaniu przemocy i możliwych sposobach reagowania, w tym prawnego.</w:t>
      </w:r>
    </w:p>
    <w:p w:rsidR="00F11D90" w:rsidRPr="00F73D38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1D90" w:rsidRPr="00F73D38" w:rsidRDefault="00F11D90" w:rsidP="00F11D90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Zasady interwencji dla uczniów, będących świadkiem lub ofiarą przemocy rówieśniczej</w:t>
      </w:r>
    </w:p>
    <w:p w:rsidR="00F11D90" w:rsidRPr="00F73D38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Jak najszybciej należy powiadomić dorosłego pracownika szkoły, informując także o swoich podejrzeniach, że któryś z uczniów doznaje przemocy. Jeśli zdarzenie jest niebezpieczne, a w pobliżu nie ma nikogo dorosłego, bezzwłocznie należy zadzwonić pod numer alarmowy 112.</w:t>
      </w:r>
    </w:p>
    <w:p w:rsidR="00F11D90" w:rsidRPr="00F73D38" w:rsidRDefault="00F11D90" w:rsidP="00F11D90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Osob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ę poszkodowaną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powinno się 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wesprzeć 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werbaln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ie i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okaz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ać empatię. A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bsolutnie nie przyłącza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ć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się do dokuczania i rozpowszechniania hejtu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czy plotek.</w:t>
      </w:r>
    </w:p>
    <w:p w:rsidR="00F11D90" w:rsidRPr="00F73D38" w:rsidRDefault="00F11D90" w:rsidP="00F11D90">
      <w:pPr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1D90" w:rsidRPr="00F73D38" w:rsidRDefault="007E314D" w:rsidP="00F11D90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F11D90"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Standardy dla rodziców uczniów doświadczających przemocy</w:t>
      </w:r>
    </w:p>
    <w:p w:rsidR="00F11D90" w:rsidRPr="00F73D38" w:rsidRDefault="00C21F56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Kategorycznie nie możemy mówić, że zachowanie dziecka</w:t>
      </w:r>
      <w:r w:rsidR="00F11D90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mogło przyczynić się do tego, że stało s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ię ofiarą zachowań </w:t>
      </w:r>
      <w:proofErr w:type="spellStart"/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przemocowych</w:t>
      </w:r>
      <w:proofErr w:type="spellEnd"/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Podkreślamy, że </w:t>
      </w:r>
      <w:r w:rsidR="00F11D90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to zachowanie sprawcy jest nieakceptowane.</w:t>
      </w:r>
    </w:p>
    <w:p w:rsidR="00F11D90" w:rsidRPr="00F73D38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Rodzice informują szkołę jeśli ich dziecko jest ofiarą przemocy rówieśniczej, aktywnie współpracując z personelem w celu rozwiązania problemu.</w:t>
      </w:r>
    </w:p>
    <w:p w:rsidR="00F11D90" w:rsidRPr="00F73D38" w:rsidRDefault="00F11D90" w:rsidP="00F11D90">
      <w:pPr>
        <w:numPr>
          <w:ilvl w:val="0"/>
          <w:numId w:val="9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przypadkach, gdy dziecko stało się poszkodowanym 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przez zachowanie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, które ścigane jest z oskarżenia prywatnego, rodzice podejmują właściwe kroki prawne.</w:t>
      </w:r>
    </w:p>
    <w:p w:rsidR="00F11D90" w:rsidRPr="00F73D38" w:rsidRDefault="00F11D90" w:rsidP="00F11D90">
      <w:pPr>
        <w:spacing w:after="0" w:line="360" w:lineRule="auto"/>
        <w:ind w:left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1D90" w:rsidRPr="00F73D38" w:rsidRDefault="007E314D" w:rsidP="00F11D90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</w:t>
      </w:r>
      <w:r w:rsidR="00F11D90"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Standardy interwencji podejmowanych przez personel szkoły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Personel szkoły bezwzględnie przestrzega zasad szkoły w zakresie zgłaszania incydentów przemocy. 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Interweniujący pracownik musi zadbać o bezpieczeństwo ucznia i odseparować go od agresywnego ucznia, jeśli zdarzenie </w:t>
      </w:r>
      <w:proofErr w:type="spellStart"/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przemocowe</w:t>
      </w:r>
      <w:proofErr w:type="spellEnd"/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trwa.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Ujawniający przemoc pracownik sporządza notatkę opisującą uzyskane in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formacje lub przebieg zdarzenia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celem przekazania jej osobie odpowiedzialnej za rejestrowanie zdarzeń i realizowanie Standardów. 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 zdarzeniu poinformowany zostaje pedagog szkolny lub wychowawca, który przeprowadza rozmowę z uczniami, a następnie kontaktuje się z ich rodzicami.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 zdarzenia, w wyniku którego doszło do uszczerbku na zdrowiu, wykorzystania seksualnego i/lub innych zachowań wyczerpujących znamiona przestępstwa ściganego z urzędu, informowany jest dyr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ektor szkoły, który powiadamia p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olicję 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rodziców. Sporządzany jest wniosek do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sądu rodzinnego.</w:t>
      </w:r>
    </w:p>
    <w:p w:rsidR="00F11D90" w:rsidRPr="00F73D38" w:rsidRDefault="00F11D90" w:rsidP="00F11D90">
      <w:pPr>
        <w:numPr>
          <w:ilvl w:val="0"/>
          <w:numId w:val="10"/>
        </w:numPr>
        <w:spacing w:after="0" w:line="360" w:lineRule="auto"/>
        <w:ind w:left="426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 zdarzenia incydentalnego (popchnięcie, szturchnięcie, ośmieszenie, niestosowny komentarz) zastosowanie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mają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kary statutowe. W przypadku kolejnego zdarze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nia z udziałem tych samych osób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należy zastosować środek oddziaływania wychowawczego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(rozmowa dyscyplinująca, rozmowa z rodzicami)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lub powiadom</w:t>
      </w:r>
      <w:r w:rsidR="006E1093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ić sąd rodzinny (postępowanie o 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demoralizację lub wgląd w sytuację rodzinną u dziecka poniżej 10. roku życia).</w:t>
      </w:r>
    </w:p>
    <w:p w:rsidR="007556BF" w:rsidRPr="00F73D38" w:rsidRDefault="007556BF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7556BF" w:rsidRPr="00F73D38" w:rsidRDefault="007556BF" w:rsidP="00F11D90">
      <w:pPr>
        <w:spacing w:after="0" w:line="360" w:lineRule="auto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1D90" w:rsidRPr="00F73D38" w:rsidRDefault="00F11D90" w:rsidP="007E314D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Przemoc domowa (krzywdzenie dziecka w rodzinie)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 uzyskania przez pracownika szkoły podejrzenia, że uczeń jest krzywdzony lub zaniedbywany przez rodzi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ców, ma on obowiązek przekazać tę informację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dyrektorowi szkoły i sporządzić notatkę służbową. 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Pedagog szkolny 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lub osoba wyznaczona do realizacji procedury ma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obowiąz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ek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zgłoszenia podejrzenia krzywdzenia małoletniego do odpowie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dniej instytucji (prokuratura/ p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olicja; sąd rodzinny; procedura „Niebieskie Karty”; 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Miejski Ośrodek Pomocy S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połecznej). 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Jeśli 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zgłoszeniu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sprawcą</w:t>
      </w:r>
      <w:r w:rsidR="00C21F56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 być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jeden z rodziców, w obecności drugiego z rodziców, innej osoby najbliższej dla małoletniego lub pełnoletniej osobie wskazanej przez małoletniego, nauczyciel wychowawca będący wychowawcą klasy, nauczyciel znający sytuację domową małoletniego, pedagog lub psycholog szkolny wszczyna procedurę „Niebieskie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j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Karty”, wypełniając formularz „Niebieska Karta – A”, a formularz „Niebieska Karta – B” przekazuje rodzicowi, osobie najbliższej lub pełnoletniej osobie wskazanej przez małoletniego. 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Wypełniony formularz „Niebieska Karta – A” szkoła niezwłocznie przekazuje przewodniczącemu zespołu interdyscyplinarnego do spraw przeciwdziałania przemocy w rodzinie, w terminie nie później niż 5 dni roboczych od wszczęcia procedury. Kopię wypełnionego formularza pozostawia się w szkole.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Ponadto dyrektor szkoły lub osoba wyznaczona (zgodnie z zapisami w Rozdziale 5) inną instytucję spośród wskazanych w ust. 2, w zależności od zdiagnozowanego typu przemocy, a dalszy tok postępowania leży w kompetencjach tej instytucji.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Całość podjętych działań dokumentowana jest w formie protokołów i notatek służbowych, które udostępnione są na żądanie instytucji prowadzącej postępowanie karne.</w:t>
      </w:r>
      <w:r w:rsidR="006E1093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Tworzona jest także karta przebiegu interwencji.</w:t>
      </w:r>
    </w:p>
    <w:p w:rsidR="00F11D90" w:rsidRPr="00F73D38" w:rsidRDefault="00C21F56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sytuacji, w której służby orzekają </w:t>
      </w:r>
      <w:r w:rsidR="00F11D90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że zgłoszenie jest bezzasadne i nie dochodzi do krzywdzenia dziecka, dyrektor szkoły lub inna osoba </w:t>
      </w:r>
      <w:r w:rsidR="00B91821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wyznaczona</w:t>
      </w:r>
      <w:r w:rsidR="00F11D90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spotkaniu, o którym mowa w ust.2, sporządza notatkę z zakończenia procedury, przy czym zlecone zostaje dalsze obserwowanie sytuacji ucznia.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 braku współpracy ze strony rodziców, niewywiązywania się z założeń planu pomocy, unikania kontaktu z pracownikami szkoły, dyrektor pisemnie wnioskuje do sądu rodzinnego o wgląd w sytuację rodzinną, przekazując poczynione ustalenia.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Pedagog lub psycholog szkolny opracowuje plan wsparcia ucznia, w którym zawarte zostają wskazania dotyczące podjęcia przez szkołę działań w celu zapewnienia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bezpieczeństwa, oferowane uczniowi i jego rodzicom formy wsparcia psychologiczno - pedagogicznego i informacje o skierowaniu ucznia/rodziny do specjalisty spoza szkoły.</w:t>
      </w:r>
    </w:p>
    <w:p w:rsidR="00F11D90" w:rsidRPr="00F73D38" w:rsidRDefault="00F11D90" w:rsidP="00F11D90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przypadku, gdy uczeń doświadcza przemoc</w:t>
      </w:r>
      <w:r w:rsidR="00E42CF2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y ze strony osoby najbliższej z 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uszczerbkiem na zdrowiu, wykorzystania seksualnego i/</w:t>
      </w:r>
      <w:r w:rsidR="00E42CF2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lub zagrożone jest jego życie i 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zdrowie</w:t>
      </w:r>
      <w:r w:rsidR="00B91821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dyrektor </w:t>
      </w:r>
      <w:r w:rsidR="00FA7F90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powiadamia odpowiednie służb</w:t>
      </w:r>
      <w:r w:rsidR="00B91821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y</w:t>
      </w:r>
      <w:r w:rsidR="00B16819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91821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powołuje 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zespół interwencyjny, w skład którego wchodzi dyrektor lub wicedyrektor szkoły, wychowawca, pedagog, psycholog szkolny i pielęgniarka szk</w:t>
      </w:r>
      <w:r w:rsidR="00B91821"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olna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F11D90" w:rsidRPr="00F73D38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opracowywany jest plan pomocy uczniowi zgodnie z wytycznymi z ust. 6;</w:t>
      </w:r>
    </w:p>
    <w:p w:rsidR="00F11D90" w:rsidRPr="00F73D38" w:rsidRDefault="00F11D90" w:rsidP="00F11D90">
      <w:pPr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przypadku otrzymania wniosku o udzielenie informacji o uczniu od uprawnionej przepisami instyt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ucji (sąd rodzinny, sąd karny, p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olicja, 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Miejski Ośrodek Pomocy S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połec</w:t>
      </w:r>
      <w:r w:rsidR="007E314D">
        <w:rPr>
          <w:rFonts w:ascii="Times New Roman" w:hAnsi="Times New Roman"/>
          <w:bCs/>
          <w:color w:val="000000" w:themeColor="text1"/>
          <w:sz w:val="24"/>
          <w:szCs w:val="24"/>
        </w:rPr>
        <w:t>znej, zespół interdyscyplinarny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), dyrektor szkoły jest zobowiązany do przygotowania takiej informacji.</w:t>
      </w:r>
    </w:p>
    <w:p w:rsidR="007556BF" w:rsidRPr="00F73D38" w:rsidRDefault="007556BF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F11D90" w:rsidRPr="00F73D38" w:rsidRDefault="00F11D90" w:rsidP="00F11D90">
      <w:pPr>
        <w:spacing w:after="0" w:line="360" w:lineRule="auto"/>
        <w:ind w:left="114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F11D90" w:rsidRPr="00F73D38" w:rsidRDefault="00F11D90" w:rsidP="007E314D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t>Krzywdzenie ucznia przez pracownika szkoły</w:t>
      </w:r>
    </w:p>
    <w:p w:rsidR="00F11D90" w:rsidRPr="00F73D38" w:rsidRDefault="002F6D88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6D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566.8pt;margin-top:231pt;width:16.4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" filled="f" stroked="f">
            <v:textbox style="layout-flow:vertical;mso-layout-flow-alt:bottom-to-top" inset="0,0,0,0">
              <w:txbxContent>
                <w:p w:rsidR="00F11D90" w:rsidRPr="00340FE8" w:rsidRDefault="00F11D90" w:rsidP="00F11D90">
                  <w:pPr>
                    <w:spacing w:before="13"/>
                    <w:ind w:left="20"/>
                    <w:rPr>
                      <w:rFonts w:ascii="Gothic720EU" w:hAnsi="Gothic720EU"/>
                      <w:bCs/>
                      <w:sz w:val="24"/>
                    </w:rPr>
                  </w:pPr>
                  <w:r w:rsidRPr="00340FE8">
                    <w:rPr>
                      <w:rFonts w:ascii="Gothic720EU" w:hAnsi="Gothic720EU"/>
                      <w:bCs/>
                      <w:color w:val="FFFFFF"/>
                      <w:spacing w:val="-5"/>
                      <w:sz w:val="24"/>
                    </w:rPr>
                    <w:t>PROCEDURY</w:t>
                  </w:r>
                  <w:r w:rsidRPr="00340FE8">
                    <w:rPr>
                      <w:rFonts w:ascii="Gothic720EU" w:hAnsi="Gothic720EU"/>
                      <w:bCs/>
                      <w:color w:val="FFFFFF"/>
                      <w:spacing w:val="-6"/>
                      <w:sz w:val="24"/>
                    </w:rPr>
                    <w:t xml:space="preserve"> POSTĘPOWANIA</w:t>
                  </w:r>
                </w:p>
              </w:txbxContent>
            </v:textbox>
            <w10:wrap anchorx="page" anchory="page"/>
          </v:shape>
        </w:pict>
      </w:r>
      <w:r w:rsidR="00F11D90" w:rsidRPr="00F73D38">
        <w:rPr>
          <w:rFonts w:ascii="Times New Roman" w:hAnsi="Times New Roman"/>
          <w:color w:val="000000" w:themeColor="text1"/>
          <w:sz w:val="24"/>
          <w:szCs w:val="24"/>
        </w:rPr>
        <w:t>Osoba, która uzyskała informację, że uczeń jest krzywdzony przez pracownika szkoły, przekazuje ją dyrektorowi szkoły, pedagogowi, psychologowi lub innej osobie wyznaczonej do zgłaszania incydentów (zgodnie z rozdziałem 5) wraz ze sporządzoną notatką służbową. Notatka służbowa może mieć formę pisemną lub elektroniczną.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W przypadku, gdy zagrożone jest życie lub zdrowie ucznia, niezwłocznie przez osobę ujawniającą krzywdze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>nie powiadamiana jest alarmowo p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olicja, a w zgłoszeniu podawane są dane osoby zgłaszającej, dane uczni</w:t>
      </w:r>
      <w:r w:rsidR="00E42CF2" w:rsidRPr="00F73D38">
        <w:rPr>
          <w:rFonts w:ascii="Times New Roman" w:hAnsi="Times New Roman"/>
          <w:color w:val="000000" w:themeColor="text1"/>
          <w:sz w:val="24"/>
          <w:szCs w:val="24"/>
        </w:rPr>
        <w:t>a oraz dane osoby podejrzanej o 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krzywdzenie, a także wszystkie znane fakty w sprawie. Osoba zawiadamiająca w tej sytuacji wypełnia również kartę</w:t>
      </w:r>
      <w:r w:rsidR="00E42CF2"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przebiegu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interwencji.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Dyrektor szkoły </w:t>
      </w:r>
      <w:r w:rsidR="00F73D38"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odsuwa pracownika od wszelkich form kontaktu z uczniami (nie tylko pokrzywdzonym) i wzywa osobę, której dotyczy zgłoszenie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na rozmowę wy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>jaśniającą, w której uczestniczą: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pedagog lub psychol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>og szkolny i wychowawca ucznia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protokołujący przebieg spotkania. 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Jeżeli zgłoszono krzywdzenie ze strony pedagoga, psychologa lub wychowawcy ucznia, osoba ta nie uczestniczy w spotkaniu, o którym mowa w ust. 3.</w:t>
      </w:r>
      <w:r w:rsidR="00F73D38"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Podczas spotkania jest osobą wyjaśniającą zdarzenie ze swoim udziałem.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Jeżeli zgłoszono krzywdzenie ze strony dyrektora szkoły, działania interwencyjne prowadzi osoba wskazana </w:t>
      </w:r>
      <w:r w:rsidR="00F73D38" w:rsidRPr="00F73D38">
        <w:rPr>
          <w:rFonts w:ascii="Times New Roman" w:hAnsi="Times New Roman"/>
          <w:color w:val="000000" w:themeColor="text1"/>
          <w:sz w:val="24"/>
          <w:szCs w:val="24"/>
        </w:rPr>
        <w:t>do realizacji standardów ochrony małoletnich.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Podczas spotkania omówiona zostaje sytuacja dziecka i zasadność podejrzeń, a także wypracowany zostaje sposób postępowania w tej sytuacji. W protokole ze spotkania zawarte zostają opracowane wnioski i postanowienia.</w:t>
      </w:r>
    </w:p>
    <w:p w:rsidR="00F11D90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W przypadku potwierdzenia podejrzeń informuje 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 xml:space="preserve">się 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o zdarzeniu rodziców ucznia krzywdzonego oraz pisemnie odpowiednie służb</w:t>
      </w:r>
      <w:r w:rsidR="007E314D">
        <w:rPr>
          <w:rFonts w:ascii="Times New Roman" w:hAnsi="Times New Roman"/>
          <w:color w:val="000000" w:themeColor="text1"/>
          <w:sz w:val="24"/>
          <w:szCs w:val="24"/>
        </w:rPr>
        <w:t>y (p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olicję/ prokuraturę), składając zawiadomienie o możliwości popełnienia przestępstwa. Opracowywany jest plan wsparcia ucznia, z którym zapoznawany jest uczeń i jego rodzice.</w:t>
      </w:r>
    </w:p>
    <w:p w:rsidR="007556BF" w:rsidRPr="00F73D38" w:rsidRDefault="00F11D90" w:rsidP="00F11D9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W przypadku ustalenia, że zachowania pracownika związane są np. ze stosowaniem krzyku w kierunku ucznia, albo niestosownych komentarzy, dyrektor szkoły przeprowadza rozmowę dyscyplinującą z pracownikiem, a jeśli nie przyniesie ona skutków, podejmuje się kroki zgodne z kodeksem pracy i innymi przepisami prawa.</w:t>
      </w:r>
    </w:p>
    <w:p w:rsidR="00F11D90" w:rsidRPr="00F73D38" w:rsidRDefault="007556BF" w:rsidP="007556B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F11D90" w:rsidRPr="00F73D38" w:rsidRDefault="00F11D90" w:rsidP="007E314D">
      <w:pPr>
        <w:numPr>
          <w:ilvl w:val="0"/>
          <w:numId w:val="2"/>
        </w:numPr>
        <w:spacing w:before="240" w:after="24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Dziecko molestowane seksualnie</w:t>
      </w:r>
    </w:p>
    <w:p w:rsidR="00F11D90" w:rsidRPr="00F73D38" w:rsidRDefault="00F11D90" w:rsidP="00F73D3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>W sytuacji podejrzenia, że małoletni uczeń został pokrzywdzony</w:t>
      </w:r>
      <w:r w:rsidR="00F73D38"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przestępstwem na tle seksualnym (gwałt, molestowanie, inne czynności seksualne, grooming)</w:t>
      </w:r>
      <w:r w:rsidRPr="00F73D3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należy bezwzględnie zawiadomić organy ścigania o podejrzeniu popełnienia przestępstwa na szkodę dziecka. </w:t>
      </w:r>
    </w:p>
    <w:p w:rsidR="00F11D90" w:rsidRPr="00F73D38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Zawiadomienie należy złożyć do instytucji właściwej ze względu na miejsce popełnienia przestępstwa.</w:t>
      </w:r>
    </w:p>
    <w:p w:rsidR="00F11D90" w:rsidRPr="00F73D38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Zawiadomienie składa osoba uprawniona do reprezentowania zawiadamiającej instytucji, zgodnie z ustaleniami z Rozdziału </w:t>
      </w:r>
      <w:r w:rsidR="007556BF" w:rsidRPr="00F73D3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 xml:space="preserve"> Standardów. </w:t>
      </w:r>
    </w:p>
    <w:p w:rsidR="00F11D90" w:rsidRPr="00F73D38" w:rsidRDefault="00F11D90" w:rsidP="00F11D9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Złożenie zawiadomienia powinno nastąpić nawet bez uzyskania zgody rodziców uczniów pokrzywdzonego. Poinformowanie ich o działaniach instytucji zależy od woli instytucji składającej zawiadomienie.</w:t>
      </w:r>
    </w:p>
    <w:p w:rsidR="00F11D90" w:rsidRPr="00F73D38" w:rsidRDefault="00F11D90" w:rsidP="007556BF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3D38">
        <w:rPr>
          <w:rFonts w:ascii="Times New Roman" w:hAnsi="Times New Roman"/>
          <w:color w:val="000000" w:themeColor="text1"/>
          <w:sz w:val="24"/>
          <w:szCs w:val="24"/>
        </w:rPr>
        <w:t>Wcześniej należy zorganizować spotkanie z rodzicami, którego celem będzie poinformowanie o uzyskanych informacjach lub o zaobserwowanych zachowaniach i wypowiedziach ucznia wskazujących na doświadczenie wykorzystywania seksualnego, a także wskazanie rodzicom miejsc świadczą</w:t>
      </w:r>
      <w:r w:rsidR="0053141B">
        <w:rPr>
          <w:rFonts w:ascii="Times New Roman" w:hAnsi="Times New Roman"/>
          <w:color w:val="000000" w:themeColor="text1"/>
          <w:sz w:val="24"/>
          <w:szCs w:val="24"/>
        </w:rPr>
        <w:t>cych pomoc osobom pokrzywdzonym</w:t>
      </w:r>
      <w:r w:rsidRPr="00F73D38">
        <w:rPr>
          <w:rFonts w:ascii="Times New Roman" w:hAnsi="Times New Roman"/>
          <w:color w:val="000000" w:themeColor="text1"/>
          <w:sz w:val="24"/>
          <w:szCs w:val="24"/>
        </w:rPr>
        <w:t>. Rodziców należy poinformować o obowiązku podjęcia interwencji prawnej i wspólnie ustalić plan pomocy uczniowi (zapewnienie mu bezpieczeństwa, udzielenie szkolnej pomocy psychologiczno - pedagogicznej, ewentualne skierowanie do specjalistycznej placówki wsparcia). W sytuacji podejrzenia, że sprawcą wykorzystywania seksualnego dziecka jest jego rodzic, do udziału w spotkaniu powinien być zaproszony rodzic niekrzywdzący.</w:t>
      </w:r>
    </w:p>
    <w:sectPr w:rsidR="00F11D90" w:rsidRPr="00F73D38" w:rsidSect="00CE0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1B" w:rsidRDefault="0053141B" w:rsidP="0053141B">
      <w:pPr>
        <w:spacing w:after="0" w:line="240" w:lineRule="auto"/>
      </w:pPr>
      <w:r>
        <w:separator/>
      </w:r>
    </w:p>
  </w:endnote>
  <w:endnote w:type="continuationSeparator" w:id="1">
    <w:p w:rsidR="0053141B" w:rsidRDefault="0053141B" w:rsidP="0053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ic720EU">
    <w:altName w:val="Cambria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54688"/>
      <w:docPartObj>
        <w:docPartGallery w:val="Page Numbers (Bottom of Page)"/>
        <w:docPartUnique/>
      </w:docPartObj>
    </w:sdtPr>
    <w:sdtContent>
      <w:p w:rsidR="008B709C" w:rsidRDefault="008B709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3141B" w:rsidRDefault="00531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1B" w:rsidRDefault="0053141B" w:rsidP="0053141B">
      <w:pPr>
        <w:spacing w:after="0" w:line="240" w:lineRule="auto"/>
      </w:pPr>
      <w:r>
        <w:separator/>
      </w:r>
    </w:p>
  </w:footnote>
  <w:footnote w:type="continuationSeparator" w:id="1">
    <w:p w:rsidR="0053141B" w:rsidRDefault="0053141B" w:rsidP="0053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69A"/>
    <w:multiLevelType w:val="hybridMultilevel"/>
    <w:tmpl w:val="2E42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D9F"/>
    <w:multiLevelType w:val="hybridMultilevel"/>
    <w:tmpl w:val="C7E4F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5151F"/>
    <w:multiLevelType w:val="hybridMultilevel"/>
    <w:tmpl w:val="F66638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D0B0EC3"/>
    <w:multiLevelType w:val="hybridMultilevel"/>
    <w:tmpl w:val="F022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13A20"/>
    <w:multiLevelType w:val="hybridMultilevel"/>
    <w:tmpl w:val="E71A8BDA"/>
    <w:lvl w:ilvl="0" w:tplc="8E968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7192"/>
    <w:multiLevelType w:val="hybridMultilevel"/>
    <w:tmpl w:val="830CF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B11DA"/>
    <w:multiLevelType w:val="hybridMultilevel"/>
    <w:tmpl w:val="2606F90A"/>
    <w:lvl w:ilvl="0" w:tplc="9336F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6275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2E3A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26F0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4D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F685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B2A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42C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EFF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99D1C62"/>
    <w:multiLevelType w:val="hybridMultilevel"/>
    <w:tmpl w:val="1AEAD07E"/>
    <w:lvl w:ilvl="0" w:tplc="FA2AC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70631"/>
    <w:multiLevelType w:val="hybridMultilevel"/>
    <w:tmpl w:val="8EF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8056E"/>
    <w:multiLevelType w:val="hybridMultilevel"/>
    <w:tmpl w:val="D370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D90"/>
    <w:rsid w:val="00047774"/>
    <w:rsid w:val="000748A0"/>
    <w:rsid w:val="001430A6"/>
    <w:rsid w:val="00157427"/>
    <w:rsid w:val="001A3CB5"/>
    <w:rsid w:val="00255494"/>
    <w:rsid w:val="002F6D88"/>
    <w:rsid w:val="00313B17"/>
    <w:rsid w:val="00450DDA"/>
    <w:rsid w:val="00495B23"/>
    <w:rsid w:val="0053141B"/>
    <w:rsid w:val="006E1093"/>
    <w:rsid w:val="007556BF"/>
    <w:rsid w:val="007E314D"/>
    <w:rsid w:val="008B709C"/>
    <w:rsid w:val="008E5987"/>
    <w:rsid w:val="009A463C"/>
    <w:rsid w:val="00AD145A"/>
    <w:rsid w:val="00B16819"/>
    <w:rsid w:val="00B91821"/>
    <w:rsid w:val="00C21F56"/>
    <w:rsid w:val="00CE0D4E"/>
    <w:rsid w:val="00DB2A4A"/>
    <w:rsid w:val="00E017B4"/>
    <w:rsid w:val="00E42CF2"/>
    <w:rsid w:val="00F11D90"/>
    <w:rsid w:val="00F73D38"/>
    <w:rsid w:val="00FA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1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D9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5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41B"/>
  </w:style>
  <w:style w:type="paragraph" w:styleId="Stopka">
    <w:name w:val="footer"/>
    <w:basedOn w:val="Normalny"/>
    <w:link w:val="StopkaZnak"/>
    <w:uiPriority w:val="99"/>
    <w:unhideWhenUsed/>
    <w:rsid w:val="0053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1458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hp</cp:lastModifiedBy>
  <cp:revision>11</cp:revision>
  <cp:lastPrinted>2024-07-05T07:38:00Z</cp:lastPrinted>
  <dcterms:created xsi:type="dcterms:W3CDTF">2023-11-08T09:59:00Z</dcterms:created>
  <dcterms:modified xsi:type="dcterms:W3CDTF">2024-07-05T07:59:00Z</dcterms:modified>
</cp:coreProperties>
</file>